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401EF8">
        <w:rPr>
          <w:rFonts w:ascii="Arial" w:hAnsi="Arial" w:cs="Arial"/>
          <w:color w:val="4BACC6" w:themeColor="accent5"/>
          <w:sz w:val="24"/>
          <w:szCs w:val="24"/>
        </w:rPr>
        <w:t>doce de febrero</w:t>
      </w:r>
      <w:r w:rsidR="00BA353F" w:rsidRPr="00976F0C">
        <w:rPr>
          <w:rFonts w:ascii="Arial" w:hAnsi="Arial" w:cs="Arial"/>
          <w:color w:val="4BACC6" w:themeColor="accent5"/>
          <w:sz w:val="24"/>
          <w:szCs w:val="24"/>
        </w:rPr>
        <w:t xml:space="preserve"> 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 xml:space="preserve">rimer lugar, es necesario insertar </w:t>
      </w:r>
      <w:r w:rsidR="00401EF8">
        <w:rPr>
          <w:rFonts w:ascii="Arial" w:hAnsi="Arial" w:cs="Arial"/>
          <w:color w:val="4BACC6" w:themeColor="accent5"/>
          <w:sz w:val="24"/>
          <w:szCs w:val="24"/>
        </w:rPr>
        <w:t xml:space="preserve">el sentido </w:t>
      </w:r>
      <w:r w:rsidR="002D371A" w:rsidRPr="00976F0C">
        <w:rPr>
          <w:rFonts w:ascii="Arial" w:hAnsi="Arial" w:cs="Arial"/>
          <w:color w:val="4BACC6" w:themeColor="accent5"/>
          <w:sz w:val="24"/>
          <w:szCs w:val="24"/>
        </w:rPr>
        <w:t xml:space="preserve">dictado en la </w:t>
      </w:r>
      <w:r w:rsidR="00401EF8">
        <w:rPr>
          <w:rFonts w:ascii="Arial" w:hAnsi="Arial" w:cs="Arial"/>
          <w:color w:val="4BACC6" w:themeColor="accent5"/>
          <w:sz w:val="24"/>
          <w:szCs w:val="24"/>
        </w:rPr>
        <w:t>resolución que nos compete</w:t>
      </w:r>
      <w:r w:rsidR="00E135A8">
        <w:rPr>
          <w:rFonts w:ascii="Arial" w:hAnsi="Arial" w:cs="Arial"/>
          <w:color w:val="4BACC6" w:themeColor="accent5"/>
          <w:sz w:val="24"/>
          <w:szCs w:val="24"/>
        </w:rPr>
        <w:t>:</w:t>
      </w:r>
    </w:p>
    <w:p w:rsidR="00401EF8" w:rsidRDefault="00090736" w:rsidP="00E135A8">
      <w:pPr>
        <w:pStyle w:val="corte4fondo"/>
        <w:tabs>
          <w:tab w:val="left" w:pos="567"/>
        </w:tabs>
        <w:spacing w:line="240" w:lineRule="auto"/>
        <w:rPr>
          <w:rFonts w:cs="Arial"/>
          <w:b/>
          <w:i/>
          <w:color w:val="4BACC6" w:themeColor="accent5"/>
          <w:sz w:val="20"/>
        </w:rPr>
      </w:pPr>
      <w:r w:rsidRPr="00976F0C">
        <w:rPr>
          <w:rFonts w:cs="Arial"/>
          <w:i/>
          <w:color w:val="4BACC6" w:themeColor="accent5"/>
          <w:sz w:val="20"/>
        </w:rPr>
        <w:t>“…</w:t>
      </w:r>
      <w:r w:rsidR="00401EF8">
        <w:rPr>
          <w:rFonts w:cs="Arial"/>
          <w:b/>
          <w:i/>
          <w:color w:val="4BACC6" w:themeColor="accent5"/>
          <w:sz w:val="20"/>
        </w:rPr>
        <w:t>6.1. Sentido y efectos de esta resolución.</w:t>
      </w:r>
    </w:p>
    <w:p w:rsidR="00401EF8" w:rsidRDefault="00401EF8" w:rsidP="00E135A8">
      <w:pPr>
        <w:pStyle w:val="corte4fondo"/>
        <w:tabs>
          <w:tab w:val="left" w:pos="567"/>
        </w:tabs>
        <w:spacing w:line="240" w:lineRule="auto"/>
        <w:rPr>
          <w:rFonts w:cs="Arial"/>
          <w:b/>
          <w:i/>
          <w:color w:val="4BACC6" w:themeColor="accent5"/>
          <w:sz w:val="20"/>
        </w:rPr>
      </w:pPr>
    </w:p>
    <w:p w:rsidR="00401EF8" w:rsidRDefault="00401EF8" w:rsidP="00E135A8">
      <w:pPr>
        <w:pStyle w:val="corte4fondo"/>
        <w:tabs>
          <w:tab w:val="left" w:pos="567"/>
        </w:tabs>
        <w:spacing w:line="240" w:lineRule="auto"/>
        <w:rPr>
          <w:rFonts w:cs="Arial"/>
          <w:i/>
          <w:color w:val="4BACC6" w:themeColor="accent5"/>
          <w:sz w:val="20"/>
        </w:rPr>
      </w:pPr>
      <w:r>
        <w:rPr>
          <w:rFonts w:cs="Arial"/>
          <w:i/>
          <w:color w:val="4BACC6" w:themeColor="accent5"/>
          <w:sz w:val="20"/>
        </w:rPr>
        <w:t>Por las consideraciones expuestas, esta Comisión Estatal de Garantía de Acceso a la Información Pública de conformidad con el artículo 175, fracción III de la Ley de Transparencia y Acceso a la Información Pública del Estado MODIFICA la respuesta proporcionada por el ente obligado y lo conmina para que proporcione al particular:</w:t>
      </w:r>
    </w:p>
    <w:p w:rsidR="00401EF8" w:rsidRDefault="00401EF8" w:rsidP="00E135A8">
      <w:pPr>
        <w:pStyle w:val="corte4fondo"/>
        <w:tabs>
          <w:tab w:val="left" w:pos="567"/>
        </w:tabs>
        <w:spacing w:line="240" w:lineRule="auto"/>
        <w:rPr>
          <w:rFonts w:cs="Arial"/>
          <w:i/>
          <w:color w:val="4BACC6" w:themeColor="accent5"/>
          <w:sz w:val="20"/>
        </w:rPr>
      </w:pPr>
    </w:p>
    <w:p w:rsidR="00E135A8" w:rsidRPr="00976F0C" w:rsidRDefault="00401EF8" w:rsidP="00E135A8">
      <w:pPr>
        <w:pStyle w:val="corte4fondo"/>
        <w:tabs>
          <w:tab w:val="left" w:pos="567"/>
        </w:tabs>
        <w:spacing w:line="240" w:lineRule="auto"/>
        <w:rPr>
          <w:rFonts w:cs="Arial"/>
          <w:i/>
          <w:color w:val="4BACC6" w:themeColor="accent5"/>
          <w:sz w:val="20"/>
        </w:rPr>
      </w:pPr>
      <w:r>
        <w:rPr>
          <w:rFonts w:cs="Arial"/>
          <w:i/>
          <w:color w:val="4BACC6" w:themeColor="accent5"/>
          <w:sz w:val="20"/>
        </w:rPr>
        <w:t>6.1.1. Funde y motive la razón por la cual el vehículo oficial identificado con el número 409 Nissan Sentra que conduce el C. XXXXXXXXXXXXXXXXXXXXXX al igual que las unidades de los Servicios de Salud no portan logotipos oficiales de la institución</w:t>
      </w:r>
      <w:r w:rsidR="00E135A8">
        <w:rPr>
          <w:rFonts w:cs="Arial"/>
          <w:i/>
          <w:color w:val="4BACC6" w:themeColor="accent5"/>
          <w:sz w:val="20"/>
        </w:rPr>
        <w:t>.”</w:t>
      </w:r>
    </w:p>
    <w:p w:rsidR="003047E5" w:rsidRPr="00976F0C" w:rsidRDefault="0039642A" w:rsidP="00E135A8">
      <w:pPr>
        <w:pStyle w:val="corte4fondo"/>
        <w:tabs>
          <w:tab w:val="left" w:pos="567"/>
        </w:tabs>
        <w:spacing w:line="240" w:lineRule="auto"/>
        <w:ind w:firstLine="0"/>
        <w:rPr>
          <w:rFonts w:cs="Arial"/>
          <w:i/>
          <w:color w:val="4BACC6" w:themeColor="accent5"/>
          <w:sz w:val="18"/>
          <w:szCs w:val="18"/>
        </w:rPr>
      </w:pPr>
      <w:r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5022C3">
        <w:rPr>
          <w:rFonts w:ascii="Arial" w:hAnsi="Arial" w:cs="Arial"/>
          <w:color w:val="4BACC6" w:themeColor="accent5"/>
          <w:sz w:val="24"/>
          <w:szCs w:val="24"/>
        </w:rPr>
        <w:t xml:space="preserve">escrito </w:t>
      </w:r>
      <w:r w:rsidR="000B15A4">
        <w:rPr>
          <w:rFonts w:ascii="Arial" w:hAnsi="Arial" w:cs="Arial"/>
          <w:color w:val="4BACC6" w:themeColor="accent5"/>
          <w:sz w:val="24"/>
          <w:szCs w:val="24"/>
        </w:rPr>
        <w:t>signado por el Encargado de la Unidad de Transparencia del Organismo Público Descentralizado denominado Servicios de Salud de San Luis Potosí</w:t>
      </w:r>
      <w:r w:rsidR="00ED382A" w:rsidRPr="00976F0C">
        <w:rPr>
          <w:rFonts w:ascii="Arial" w:hAnsi="Arial" w:cs="Arial"/>
          <w:color w:val="4BACC6" w:themeColor="accent5"/>
          <w:sz w:val="24"/>
          <w:szCs w:val="24"/>
        </w:rPr>
        <w:t xml:space="preserve">, </w:t>
      </w:r>
      <w:r w:rsidR="00352A7B" w:rsidRPr="00976F0C">
        <w:rPr>
          <w:rFonts w:ascii="Arial" w:hAnsi="Arial" w:cs="Arial"/>
          <w:color w:val="4BACC6" w:themeColor="accent5"/>
          <w:sz w:val="24"/>
          <w:szCs w:val="24"/>
        </w:rPr>
        <w:t xml:space="preserve">de </w:t>
      </w:r>
      <w:r w:rsidRPr="00976F0C">
        <w:rPr>
          <w:rFonts w:ascii="Arial" w:hAnsi="Arial" w:cs="Arial"/>
          <w:color w:val="4BACC6" w:themeColor="accent5"/>
          <w:sz w:val="24"/>
          <w:szCs w:val="24"/>
        </w:rPr>
        <w:t>fecha</w:t>
      </w:r>
      <w:r w:rsidR="00D11CA5" w:rsidRPr="00976F0C">
        <w:rPr>
          <w:rFonts w:ascii="Arial" w:hAnsi="Arial" w:cs="Arial"/>
          <w:color w:val="4BACC6" w:themeColor="accent5"/>
          <w:sz w:val="24"/>
          <w:szCs w:val="24"/>
        </w:rPr>
        <w:t xml:space="preserve"> </w:t>
      </w:r>
      <w:r w:rsidR="000B15A4">
        <w:rPr>
          <w:rFonts w:ascii="Arial" w:hAnsi="Arial" w:cs="Arial"/>
          <w:color w:val="4BACC6" w:themeColor="accent5"/>
          <w:sz w:val="24"/>
          <w:szCs w:val="24"/>
        </w:rPr>
        <w:t xml:space="preserve">cuatro de enero de </w:t>
      </w:r>
      <w:r w:rsidR="00ED382A" w:rsidRPr="00976F0C">
        <w:rPr>
          <w:rFonts w:ascii="Arial" w:hAnsi="Arial" w:cs="Arial"/>
          <w:color w:val="4BACC6" w:themeColor="accent5"/>
          <w:sz w:val="24"/>
          <w:szCs w:val="24"/>
        </w:rPr>
        <w:t xml:space="preserve">dos </w:t>
      </w:r>
      <w:r w:rsidR="002231D3" w:rsidRPr="00976F0C">
        <w:rPr>
          <w:rFonts w:ascii="Arial" w:hAnsi="Arial" w:cs="Arial"/>
          <w:color w:val="4BACC6" w:themeColor="accent5"/>
          <w:sz w:val="24"/>
          <w:szCs w:val="24"/>
        </w:rPr>
        <w:t>mil dieci</w:t>
      </w:r>
      <w:r w:rsidR="000B15A4">
        <w:rPr>
          <w:rFonts w:ascii="Arial" w:hAnsi="Arial" w:cs="Arial"/>
          <w:color w:val="4BACC6" w:themeColor="accent5"/>
          <w:sz w:val="24"/>
          <w:szCs w:val="24"/>
        </w:rPr>
        <w:t>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w:t>
      </w:r>
      <w:proofErr w:type="gramStart"/>
      <w:r w:rsidR="000B15A4">
        <w:rPr>
          <w:rFonts w:ascii="Arial" w:hAnsi="Arial" w:cs="Arial"/>
          <w:color w:val="4BACC6" w:themeColor="accent5"/>
          <w:sz w:val="24"/>
          <w:szCs w:val="24"/>
        </w:rPr>
        <w:t>dos</w:t>
      </w:r>
      <w:r w:rsidR="006A4610" w:rsidRPr="00976F0C">
        <w:rPr>
          <w:rFonts w:ascii="Arial" w:hAnsi="Arial" w:cs="Arial"/>
          <w:color w:val="4BACC6" w:themeColor="accent5"/>
          <w:sz w:val="24"/>
          <w:szCs w:val="24"/>
        </w:rPr>
        <w:t xml:space="preserve"> anexo</w:t>
      </w:r>
      <w:proofErr w:type="gramEnd"/>
      <w:r w:rsidR="006A4610" w:rsidRPr="00976F0C">
        <w:rPr>
          <w:rFonts w:ascii="Arial" w:hAnsi="Arial" w:cs="Arial"/>
          <w:color w:val="4BACC6" w:themeColor="accent5"/>
          <w:sz w:val="24"/>
          <w:szCs w:val="24"/>
        </w:rPr>
        <w:t>,</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976F0C" w:rsidRDefault="00E12808" w:rsidP="00976F0C">
      <w:pPr>
        <w:spacing w:after="0" w:line="240" w:lineRule="auto"/>
        <w:ind w:firstLine="708"/>
        <w:jc w:val="both"/>
        <w:rPr>
          <w:rFonts w:ascii="Arial" w:hAnsi="Arial" w:cs="Arial"/>
          <w:i/>
          <w:color w:val="4BACC6" w:themeColor="accent5"/>
        </w:rPr>
      </w:pPr>
      <w:r w:rsidRPr="00976F0C">
        <w:rPr>
          <w:rFonts w:ascii="Arial" w:hAnsi="Arial" w:cs="Arial"/>
          <w:i/>
          <w:color w:val="4BACC6" w:themeColor="accent5"/>
        </w:rPr>
        <w:t xml:space="preserve"> </w:t>
      </w:r>
      <w:r w:rsidR="00D11CA5" w:rsidRPr="00976F0C">
        <w:rPr>
          <w:rFonts w:ascii="Arial" w:hAnsi="Arial" w:cs="Arial"/>
          <w:i/>
          <w:color w:val="4BACC6" w:themeColor="accent5"/>
        </w:rPr>
        <w:t>[…]</w:t>
      </w:r>
      <w:r w:rsidR="00810456" w:rsidRPr="00976F0C">
        <w:rPr>
          <w:rFonts w:ascii="Arial" w:hAnsi="Arial" w:cs="Arial"/>
          <w:i/>
          <w:color w:val="4BACC6" w:themeColor="accent5"/>
        </w:rPr>
        <w:t xml:space="preserve"> </w:t>
      </w:r>
      <w:r w:rsidR="000B15A4">
        <w:rPr>
          <w:rFonts w:ascii="Arial" w:hAnsi="Arial" w:cs="Arial"/>
          <w:i/>
          <w:color w:val="4BACC6" w:themeColor="accent5"/>
        </w:rPr>
        <w:t>m</w:t>
      </w:r>
      <w:r w:rsidR="00E135A8">
        <w:rPr>
          <w:rFonts w:ascii="Arial" w:hAnsi="Arial" w:cs="Arial"/>
          <w:i/>
          <w:color w:val="4BACC6" w:themeColor="accent5"/>
        </w:rPr>
        <w:t xml:space="preserve">e permito </w:t>
      </w:r>
      <w:r w:rsidR="000B15A4">
        <w:rPr>
          <w:rFonts w:ascii="Arial" w:hAnsi="Arial" w:cs="Arial"/>
          <w:i/>
          <w:color w:val="4BACC6" w:themeColor="accent5"/>
        </w:rPr>
        <w:t xml:space="preserve">remitir a usted en copias debidamente certificadas la bandeja de salida de fecha 18 de diciembre de 2017, del correo electrónico oficial de estos Servicios de Salud, </w:t>
      </w:r>
      <w:r w:rsidR="000B15A4" w:rsidRPr="000B15A4">
        <w:rPr>
          <w:rFonts w:ascii="Arial" w:hAnsi="Arial" w:cs="Arial"/>
          <w:i/>
          <w:color w:val="4BACC6" w:themeColor="accent5"/>
          <w:u w:val="single"/>
        </w:rPr>
        <w:t xml:space="preserve">salud unidad </w:t>
      </w:r>
      <w:hyperlink r:id="rId8" w:history="1">
        <w:r w:rsidR="000B15A4" w:rsidRPr="000B15A4">
          <w:rPr>
            <w:rStyle w:val="Hipervnculo"/>
            <w:rFonts w:ascii="Arial" w:hAnsi="Arial" w:cs="Arial"/>
            <w:i/>
            <w:color w:val="4BACC6" w:themeColor="accent5"/>
          </w:rPr>
          <w:t>transparencia@slp.gob.mx</w:t>
        </w:r>
      </w:hyperlink>
      <w:r w:rsidR="000B15A4">
        <w:rPr>
          <w:rFonts w:ascii="Arial" w:hAnsi="Arial" w:cs="Arial"/>
          <w:i/>
          <w:color w:val="4BACC6" w:themeColor="accent5"/>
        </w:rPr>
        <w:t xml:space="preserve">  al correo </w:t>
      </w:r>
      <w:r w:rsidR="005447DC">
        <w:rPr>
          <w:rFonts w:ascii="Arial" w:hAnsi="Arial" w:cs="Arial"/>
          <w:i/>
          <w:color w:val="4BACC6" w:themeColor="accent5"/>
        </w:rPr>
        <w:t xml:space="preserve">autorizado por el quejoso, XXXXXXXXXXX, XXXXXXXX el cual contiene la información solicitada por el mismo, sin embargo se recibe de forma inmediata en la bandeja de entrada del correo electrónico oficial de este Organismo de los Servicios de Salud de San Luis Potosí, </w:t>
      </w:r>
      <w:r w:rsidR="005447DC" w:rsidRPr="000B15A4">
        <w:rPr>
          <w:rFonts w:ascii="Arial" w:hAnsi="Arial" w:cs="Arial"/>
          <w:i/>
          <w:color w:val="4BACC6" w:themeColor="accent5"/>
          <w:u w:val="single"/>
        </w:rPr>
        <w:t xml:space="preserve">salud unidad </w:t>
      </w:r>
      <w:hyperlink r:id="rId9" w:history="1">
        <w:r w:rsidR="005447DC" w:rsidRPr="000B15A4">
          <w:rPr>
            <w:rStyle w:val="Hipervnculo"/>
            <w:rFonts w:ascii="Arial" w:hAnsi="Arial" w:cs="Arial"/>
            <w:i/>
            <w:color w:val="4BACC6" w:themeColor="accent5"/>
          </w:rPr>
          <w:t>transparencia@slp.gob.mx</w:t>
        </w:r>
      </w:hyperlink>
      <w:r w:rsidR="005447DC">
        <w:rPr>
          <w:rFonts w:ascii="Arial" w:hAnsi="Arial" w:cs="Arial"/>
          <w:i/>
          <w:color w:val="4BACC6" w:themeColor="accent5"/>
        </w:rPr>
        <w:t xml:space="preserve">  el rechazo de la información enviada al particular el mismo día 89 de diciembre de 2017 (MDaemon Delivery Status Notificatión), lo anterior se acredita de igual manera en copia certificada, por ultimo remito en original Cédula de Notificación en Estrados de fecha 18 de diciembre de 2017 la cual se encuentra publicada en las oficinas de esta Unidad de Transparencia</w:t>
      </w:r>
      <w:r w:rsidR="00E621C8">
        <w:rPr>
          <w:rFonts w:ascii="Arial" w:hAnsi="Arial" w:cs="Arial"/>
          <w:i/>
          <w:color w:val="4BACC6" w:themeColor="accent5"/>
        </w:rPr>
        <w:t>.”</w:t>
      </w:r>
      <w:r w:rsidR="005447DC">
        <w:rPr>
          <w:rFonts w:ascii="Arial" w:hAnsi="Arial" w:cs="Arial"/>
          <w:i/>
          <w:color w:val="4BACC6" w:themeColor="accent5"/>
        </w:rPr>
        <w:t xml:space="preserve"> </w:t>
      </w:r>
      <w:r w:rsidR="005447DC" w:rsidRPr="00976F0C">
        <w:rPr>
          <w:rFonts w:ascii="Arial" w:hAnsi="Arial" w:cs="Arial"/>
          <w:i/>
          <w:color w:val="4BACC6" w:themeColor="accent5"/>
        </w:rPr>
        <w:t>[…]</w:t>
      </w:r>
      <w:r w:rsidR="005447DC">
        <w:rPr>
          <w:rFonts w:ascii="Arial" w:hAnsi="Arial" w:cs="Arial"/>
          <w:i/>
          <w:color w:val="4BACC6" w:themeColor="accent5"/>
        </w:rPr>
        <w:t xml:space="preserve"> (sic)</w:t>
      </w:r>
      <w:r w:rsidR="001C77AA" w:rsidRPr="00976F0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5447DC">
        <w:rPr>
          <w:rFonts w:cs="Arial"/>
          <w:color w:val="4BACC6" w:themeColor="accent5"/>
          <w:sz w:val="24"/>
          <w:szCs w:val="24"/>
        </w:rPr>
        <w:t>45</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5447DC">
        <w:rPr>
          <w:rFonts w:cs="Arial"/>
          <w:color w:val="4BACC6" w:themeColor="accent5"/>
          <w:sz w:val="24"/>
          <w:szCs w:val="24"/>
        </w:rPr>
        <w:t>50</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38033F" w:rsidRDefault="00AF0D89" w:rsidP="00E84E18">
      <w:pPr>
        <w:pStyle w:val="corte4fondo"/>
        <w:tabs>
          <w:tab w:val="left" w:pos="567"/>
        </w:tabs>
        <w:rPr>
          <w:rFonts w:cs="Arial"/>
          <w:color w:val="4BACC6" w:themeColor="accent5"/>
          <w:sz w:val="24"/>
          <w:szCs w:val="24"/>
        </w:rPr>
      </w:pPr>
      <w:r w:rsidRPr="00976F0C">
        <w:rPr>
          <w:rFonts w:cs="Arial"/>
          <w:color w:val="4BACC6" w:themeColor="accent5"/>
          <w:sz w:val="24"/>
          <w:szCs w:val="24"/>
        </w:rPr>
        <w:lastRenderedPageBreak/>
        <w:t xml:space="preserve">Por otra parte, </w:t>
      </w:r>
      <w:r w:rsidR="00D11CA5" w:rsidRPr="00976F0C">
        <w:rPr>
          <w:rFonts w:cs="Arial"/>
          <w:color w:val="4BACC6" w:themeColor="accent5"/>
          <w:sz w:val="24"/>
          <w:szCs w:val="24"/>
        </w:rPr>
        <w:t xml:space="preserve">el sujeto obligado </w:t>
      </w:r>
      <w:r w:rsidRPr="00976F0C">
        <w:rPr>
          <w:rFonts w:cs="Arial"/>
          <w:color w:val="4BACC6" w:themeColor="accent5"/>
          <w:sz w:val="24"/>
          <w:szCs w:val="24"/>
        </w:rPr>
        <w:t xml:space="preserve">no acredita </w:t>
      </w:r>
      <w:r w:rsidR="000B7F7D" w:rsidRPr="00976F0C">
        <w:rPr>
          <w:rFonts w:cs="Arial"/>
          <w:color w:val="4BACC6" w:themeColor="accent5"/>
          <w:sz w:val="24"/>
          <w:szCs w:val="24"/>
        </w:rPr>
        <w:t>la</w:t>
      </w:r>
      <w:r w:rsidR="00E621C8">
        <w:rPr>
          <w:rFonts w:cs="Arial"/>
          <w:color w:val="4BACC6" w:themeColor="accent5"/>
          <w:sz w:val="24"/>
          <w:szCs w:val="24"/>
        </w:rPr>
        <w:t>s</w:t>
      </w:r>
      <w:r w:rsidR="000B7F7D" w:rsidRPr="00976F0C">
        <w:rPr>
          <w:rFonts w:cs="Arial"/>
          <w:color w:val="4BACC6" w:themeColor="accent5"/>
          <w:sz w:val="24"/>
          <w:szCs w:val="24"/>
        </w:rPr>
        <w:t xml:space="preserve"> constancia</w:t>
      </w:r>
      <w:r w:rsidR="00E621C8">
        <w:rPr>
          <w:rFonts w:cs="Arial"/>
          <w:color w:val="4BACC6" w:themeColor="accent5"/>
          <w:sz w:val="24"/>
          <w:szCs w:val="24"/>
        </w:rPr>
        <w:t>s</w:t>
      </w:r>
      <w:r w:rsidR="000B7F7D" w:rsidRPr="00976F0C">
        <w:rPr>
          <w:rFonts w:cs="Arial"/>
          <w:color w:val="4BACC6" w:themeColor="accent5"/>
          <w:sz w:val="24"/>
          <w:szCs w:val="24"/>
        </w:rPr>
        <w:t xml:space="preserve"> </w:t>
      </w:r>
      <w:r w:rsidR="00FE5A4C" w:rsidRPr="00976F0C">
        <w:rPr>
          <w:rFonts w:cs="Arial"/>
          <w:color w:val="4BACC6" w:themeColor="accent5"/>
          <w:sz w:val="24"/>
          <w:szCs w:val="24"/>
        </w:rPr>
        <w:t xml:space="preserve">que </w:t>
      </w:r>
      <w:r w:rsidRPr="00976F0C">
        <w:rPr>
          <w:rFonts w:cs="Arial"/>
          <w:color w:val="4BACC6" w:themeColor="accent5"/>
          <w:sz w:val="24"/>
          <w:szCs w:val="24"/>
        </w:rPr>
        <w:t xml:space="preserve">remitió </w:t>
      </w:r>
      <w:r w:rsidR="000B7F7D" w:rsidRPr="00976F0C">
        <w:rPr>
          <w:rFonts w:cs="Arial"/>
          <w:color w:val="4BACC6" w:themeColor="accent5"/>
          <w:sz w:val="24"/>
          <w:szCs w:val="24"/>
        </w:rPr>
        <w:t>al recurrente</w:t>
      </w:r>
      <w:r w:rsidR="005447DC">
        <w:rPr>
          <w:rFonts w:cs="Arial"/>
          <w:color w:val="4BACC6" w:themeColor="accent5"/>
          <w:sz w:val="24"/>
          <w:szCs w:val="24"/>
        </w:rPr>
        <w:t xml:space="preserve"> en donde funde y motive correctamente </w:t>
      </w:r>
      <w:r w:rsidR="00C750F4">
        <w:rPr>
          <w:rFonts w:cs="Arial"/>
          <w:color w:val="4BACC6" w:themeColor="accent5"/>
          <w:sz w:val="24"/>
          <w:szCs w:val="24"/>
        </w:rPr>
        <w:t>su respuesta</w:t>
      </w:r>
      <w:r w:rsidR="00427953">
        <w:rPr>
          <w:rFonts w:cs="Arial"/>
          <w:color w:val="4BACC6" w:themeColor="accent5"/>
          <w:sz w:val="24"/>
          <w:szCs w:val="24"/>
        </w:rPr>
        <w:t xml:space="preserve">, toda vez que solo envió </w:t>
      </w:r>
      <w:r w:rsidR="005C16CA">
        <w:rPr>
          <w:rFonts w:cs="Arial"/>
          <w:color w:val="4BACC6" w:themeColor="accent5"/>
          <w:sz w:val="24"/>
          <w:szCs w:val="24"/>
        </w:rPr>
        <w:t>al</w:t>
      </w:r>
      <w:r w:rsidR="000B7F7D" w:rsidRPr="00976F0C">
        <w:rPr>
          <w:rFonts w:cs="Arial"/>
          <w:color w:val="4BACC6" w:themeColor="accent5"/>
          <w:sz w:val="24"/>
          <w:szCs w:val="24"/>
        </w:rPr>
        <w:t xml:space="preserve"> </w:t>
      </w:r>
      <w:r w:rsidR="00FE5A4C" w:rsidRPr="00976F0C">
        <w:rPr>
          <w:rFonts w:cs="Arial"/>
          <w:color w:val="4BACC6" w:themeColor="accent5"/>
          <w:sz w:val="24"/>
          <w:szCs w:val="24"/>
        </w:rPr>
        <w:t>correo electrónico</w:t>
      </w:r>
      <w:r w:rsidR="000B7F7D" w:rsidRPr="00976F0C">
        <w:rPr>
          <w:rFonts w:cs="Arial"/>
          <w:color w:val="4BACC6" w:themeColor="accent5"/>
          <w:sz w:val="24"/>
          <w:szCs w:val="24"/>
        </w:rPr>
        <w:t xml:space="preserve"> </w:t>
      </w:r>
      <w:r w:rsidR="00C750F4">
        <w:rPr>
          <w:rFonts w:cs="Arial"/>
          <w:color w:val="4BACC6" w:themeColor="accent5"/>
          <w:sz w:val="24"/>
          <w:szCs w:val="24"/>
        </w:rPr>
        <w:t>del recurrente un documento haciendo mención del motivo por el cual el vehículo ya mencionado en párrafos anteriores no cuenta con número económico y logotipo de esa dependencia</w:t>
      </w:r>
      <w:r w:rsidR="0038033F">
        <w:rPr>
          <w:rFonts w:cs="Arial"/>
          <w:color w:val="4BACC6" w:themeColor="accent5"/>
          <w:sz w:val="24"/>
          <w:szCs w:val="24"/>
        </w:rPr>
        <w:t>.</w:t>
      </w:r>
    </w:p>
    <w:p w:rsidR="0038033F" w:rsidRDefault="0038033F" w:rsidP="00D63B24">
      <w:pPr>
        <w:pStyle w:val="corte4fondo"/>
        <w:tabs>
          <w:tab w:val="left" w:pos="567"/>
        </w:tabs>
        <w:ind w:firstLine="0"/>
        <w:rPr>
          <w:rFonts w:cs="Arial"/>
          <w:color w:val="4BACC6" w:themeColor="accent5"/>
          <w:sz w:val="24"/>
          <w:szCs w:val="24"/>
        </w:rPr>
      </w:pPr>
    </w:p>
    <w:p w:rsidR="00895AD9" w:rsidRDefault="00895AD9" w:rsidP="00D63B24">
      <w:pPr>
        <w:pStyle w:val="corte4fondo"/>
        <w:tabs>
          <w:tab w:val="left" w:pos="567"/>
        </w:tabs>
        <w:ind w:firstLine="0"/>
        <w:rPr>
          <w:rFonts w:cs="Arial"/>
          <w:color w:val="4BACC6" w:themeColor="accent5"/>
          <w:sz w:val="24"/>
          <w:szCs w:val="24"/>
        </w:rPr>
      </w:pPr>
    </w:p>
    <w:p w:rsidR="005C16CA" w:rsidRDefault="0038033F" w:rsidP="005C16CA">
      <w:pPr>
        <w:pStyle w:val="corte4fondo"/>
        <w:tabs>
          <w:tab w:val="left" w:pos="567"/>
        </w:tabs>
        <w:rPr>
          <w:color w:val="4BACC6" w:themeColor="accent5"/>
          <w:sz w:val="24"/>
          <w:szCs w:val="24"/>
        </w:rPr>
      </w:pPr>
      <w:r>
        <w:rPr>
          <w:rFonts w:cs="Arial"/>
          <w:color w:val="4BACC6" w:themeColor="accent5"/>
          <w:sz w:val="24"/>
          <w:szCs w:val="24"/>
        </w:rPr>
        <w:t xml:space="preserve">Por </w:t>
      </w:r>
      <w:r w:rsidR="00E66879">
        <w:rPr>
          <w:rFonts w:cs="Arial"/>
          <w:color w:val="4BACC6" w:themeColor="accent5"/>
          <w:sz w:val="24"/>
          <w:szCs w:val="24"/>
        </w:rPr>
        <w:t>ello</w:t>
      </w:r>
      <w:r>
        <w:rPr>
          <w:rFonts w:cs="Arial"/>
          <w:color w:val="4BACC6" w:themeColor="accent5"/>
          <w:sz w:val="24"/>
          <w:szCs w:val="24"/>
        </w:rPr>
        <w:t>,</w:t>
      </w:r>
      <w:r w:rsidR="005C16CA">
        <w:rPr>
          <w:rFonts w:cs="Arial"/>
          <w:color w:val="4BACC6" w:themeColor="accent5"/>
          <w:sz w:val="24"/>
          <w:szCs w:val="24"/>
        </w:rPr>
        <w:t xml:space="preserve"> </w:t>
      </w:r>
      <w:r w:rsidR="00E84E18">
        <w:rPr>
          <w:rFonts w:cs="Arial"/>
          <w:color w:val="4BACC6" w:themeColor="accent5"/>
          <w:sz w:val="24"/>
          <w:szCs w:val="24"/>
        </w:rPr>
        <w:t xml:space="preserve">el sujeto obligado debió de hacer </w:t>
      </w:r>
      <w:r w:rsidR="00E84E18">
        <w:rPr>
          <w:rFonts w:cs="Arial"/>
          <w:color w:val="4BACC6" w:themeColor="accent5"/>
          <w:sz w:val="24"/>
          <w:szCs w:val="24"/>
        </w:rPr>
        <w:t>hincapié</w:t>
      </w:r>
      <w:r w:rsidR="00E84E18">
        <w:rPr>
          <w:rFonts w:cs="Arial"/>
          <w:color w:val="4BACC6" w:themeColor="accent5"/>
          <w:sz w:val="24"/>
          <w:szCs w:val="24"/>
        </w:rPr>
        <w:t xml:space="preserve"> de los preceptos legales y </w:t>
      </w:r>
      <w:r w:rsidR="00E84E18">
        <w:rPr>
          <w:rFonts w:cs="Arial"/>
          <w:color w:val="4BACC6" w:themeColor="accent5"/>
          <w:sz w:val="24"/>
          <w:szCs w:val="24"/>
        </w:rPr>
        <w:t xml:space="preserve">expresar </w:t>
      </w:r>
      <w:r w:rsidR="00E84E18">
        <w:rPr>
          <w:rFonts w:cs="Arial"/>
          <w:color w:val="4BACC6" w:themeColor="accent5"/>
          <w:sz w:val="24"/>
          <w:szCs w:val="24"/>
        </w:rPr>
        <w:t xml:space="preserve">los hechos </w:t>
      </w:r>
      <w:r w:rsidR="00E84E18">
        <w:rPr>
          <w:rFonts w:cs="Arial"/>
          <w:color w:val="4BACC6" w:themeColor="accent5"/>
          <w:sz w:val="24"/>
          <w:szCs w:val="24"/>
        </w:rPr>
        <w:t xml:space="preserve">que se </w:t>
      </w:r>
      <w:r w:rsidR="00E84E18">
        <w:rPr>
          <w:rFonts w:cs="Arial"/>
          <w:color w:val="4BACC6" w:themeColor="accent5"/>
          <w:sz w:val="24"/>
          <w:szCs w:val="24"/>
        </w:rPr>
        <w:t>ajusta en los que apoya su contestación</w:t>
      </w:r>
      <w:r w:rsidR="00E84E18">
        <w:rPr>
          <w:rFonts w:cs="Arial"/>
          <w:color w:val="4BACC6" w:themeColor="accent5"/>
          <w:sz w:val="24"/>
          <w:szCs w:val="24"/>
        </w:rPr>
        <w:t xml:space="preserve">; por lo anterior, el sujeto obligado </w:t>
      </w:r>
      <w:r w:rsidR="00E84E18" w:rsidRPr="00E84E18">
        <w:rPr>
          <w:rFonts w:cs="Arial"/>
          <w:b/>
          <w:color w:val="4BACC6" w:themeColor="accent5"/>
          <w:sz w:val="24"/>
          <w:szCs w:val="24"/>
        </w:rPr>
        <w:t xml:space="preserve">no </w:t>
      </w:r>
      <w:r w:rsidR="005C16CA" w:rsidRPr="00E84E18">
        <w:rPr>
          <w:rFonts w:cs="Arial"/>
          <w:b/>
          <w:color w:val="4BACC6" w:themeColor="accent5"/>
          <w:sz w:val="24"/>
          <w:szCs w:val="24"/>
        </w:rPr>
        <w:t>da cabal cumplimiento al punto resolutorio que se analiza</w:t>
      </w:r>
      <w:r w:rsidR="003108D6">
        <w:rPr>
          <w:rFonts w:cs="Arial"/>
          <w:color w:val="4BACC6" w:themeColor="accent5"/>
          <w:sz w:val="24"/>
          <w:szCs w:val="24"/>
        </w:rPr>
        <w:t>;</w:t>
      </w:r>
      <w:r w:rsidR="003108D6" w:rsidRPr="003108D6">
        <w:rPr>
          <w:rFonts w:cs="Arial"/>
          <w:color w:val="4BACC6" w:themeColor="accent5"/>
          <w:sz w:val="24"/>
          <w:szCs w:val="24"/>
        </w:rPr>
        <w:t xml:space="preserve"> lo anterior</w:t>
      </w:r>
      <w:r w:rsidR="003108D6">
        <w:rPr>
          <w:rFonts w:cs="Arial"/>
          <w:color w:val="4BACC6" w:themeColor="accent5"/>
          <w:sz w:val="24"/>
          <w:szCs w:val="24"/>
        </w:rPr>
        <w:t>,</w:t>
      </w:r>
      <w:r w:rsidR="003108D6" w:rsidRPr="003108D6">
        <w:rPr>
          <w:rFonts w:cs="Arial"/>
          <w:color w:val="4BACC6" w:themeColor="accent5"/>
          <w:sz w:val="24"/>
          <w:szCs w:val="24"/>
        </w:rPr>
        <w:t xml:space="preserve"> de acuerdo con</w:t>
      </w:r>
      <w:r w:rsidR="003108D6">
        <w:rPr>
          <w:rFonts w:cs="Arial"/>
          <w:b/>
          <w:color w:val="4BACC6" w:themeColor="accent5"/>
          <w:sz w:val="24"/>
          <w:szCs w:val="24"/>
        </w:rPr>
        <w:t xml:space="preserve"> </w:t>
      </w:r>
      <w:r w:rsidR="005C16CA">
        <w:rPr>
          <w:rFonts w:cs="Arial"/>
          <w:color w:val="4BACC6" w:themeColor="accent5"/>
          <w:sz w:val="24"/>
          <w:szCs w:val="24"/>
        </w:rPr>
        <w:t xml:space="preserve">la jurisprudencia </w:t>
      </w:r>
      <w:r w:rsidR="005C16CA" w:rsidRPr="005C16CA">
        <w:rPr>
          <w:color w:val="4BACC6" w:themeColor="accent5"/>
          <w:sz w:val="24"/>
          <w:szCs w:val="24"/>
        </w:rPr>
        <w:t xml:space="preserve">209986. I. 4o. P. 56 P. Tribunales Colegiados de Circuito. Octava Época. Semanario Judicial de la Federación. Tomo XIV, </w:t>
      </w:r>
      <w:proofErr w:type="gramStart"/>
      <w:r w:rsidR="005C16CA" w:rsidRPr="005C16CA">
        <w:rPr>
          <w:color w:val="4BACC6" w:themeColor="accent5"/>
          <w:sz w:val="24"/>
          <w:szCs w:val="24"/>
        </w:rPr>
        <w:t>Noviembre</w:t>
      </w:r>
      <w:proofErr w:type="gramEnd"/>
      <w:r w:rsidR="005C16CA" w:rsidRPr="005C16CA">
        <w:rPr>
          <w:color w:val="4BACC6" w:themeColor="accent5"/>
          <w:sz w:val="24"/>
          <w:szCs w:val="24"/>
        </w:rPr>
        <w:t xml:space="preserve"> de 1994, Pág. 450</w:t>
      </w:r>
      <w:r w:rsidR="005C16CA">
        <w:rPr>
          <w:color w:val="4BACC6" w:themeColor="accent5"/>
          <w:sz w:val="24"/>
          <w:szCs w:val="24"/>
        </w:rPr>
        <w:t>, la cual dice lo siguiente:</w:t>
      </w:r>
    </w:p>
    <w:p w:rsidR="005C16CA" w:rsidRPr="005C16CA" w:rsidRDefault="005C16CA" w:rsidP="005C16CA">
      <w:pPr>
        <w:pStyle w:val="corte4fondo"/>
        <w:tabs>
          <w:tab w:val="left" w:pos="567"/>
        </w:tabs>
        <w:rPr>
          <w:rFonts w:cs="Arial"/>
          <w:color w:val="4BACC6" w:themeColor="accent5"/>
          <w:sz w:val="24"/>
          <w:szCs w:val="24"/>
        </w:rPr>
      </w:pPr>
    </w:p>
    <w:p w:rsidR="005C16CA" w:rsidRDefault="005C16CA" w:rsidP="00523D76">
      <w:pPr>
        <w:pStyle w:val="corte4fondo"/>
        <w:tabs>
          <w:tab w:val="left" w:pos="567"/>
        </w:tabs>
        <w:rPr>
          <w:i/>
          <w:color w:val="4BACC6" w:themeColor="accent5"/>
          <w:sz w:val="22"/>
          <w:szCs w:val="22"/>
        </w:rPr>
      </w:pPr>
      <w:r>
        <w:rPr>
          <w:b/>
          <w:i/>
          <w:color w:val="4BACC6" w:themeColor="accent5"/>
          <w:sz w:val="22"/>
          <w:szCs w:val="22"/>
        </w:rPr>
        <w:t>“</w:t>
      </w:r>
      <w:r w:rsidRPr="005C16CA">
        <w:rPr>
          <w:b/>
          <w:i/>
          <w:color w:val="4BACC6" w:themeColor="accent5"/>
          <w:sz w:val="22"/>
          <w:szCs w:val="22"/>
        </w:rPr>
        <w:t>FUNDAMENTACION Y MOTIVACION, CONCEPTO DE.</w:t>
      </w:r>
      <w:r w:rsidRPr="005C16CA">
        <w:rPr>
          <w:i/>
          <w:color w:val="4BACC6" w:themeColor="accent5"/>
          <w:sz w:val="22"/>
          <w:szCs w:val="22"/>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sidR="00A832FB">
        <w:rPr>
          <w:i/>
          <w:color w:val="4BACC6" w:themeColor="accent5"/>
          <w:sz w:val="22"/>
          <w:szCs w:val="22"/>
        </w:rPr>
        <w:t>”</w:t>
      </w:r>
    </w:p>
    <w:p w:rsidR="00A832FB" w:rsidRDefault="00A832FB" w:rsidP="00523D76">
      <w:pPr>
        <w:pStyle w:val="corte4fondo"/>
        <w:tabs>
          <w:tab w:val="left" w:pos="567"/>
        </w:tabs>
        <w:rPr>
          <w:rFonts w:cs="Arial"/>
          <w:i/>
          <w:color w:val="4BACC6" w:themeColor="accent5"/>
          <w:sz w:val="22"/>
          <w:szCs w:val="22"/>
        </w:rPr>
      </w:pPr>
    </w:p>
    <w:p w:rsidR="00A832FB" w:rsidRDefault="00A832FB" w:rsidP="00523D76">
      <w:pPr>
        <w:pStyle w:val="corte4fondo"/>
        <w:tabs>
          <w:tab w:val="left" w:pos="567"/>
        </w:tabs>
        <w:rPr>
          <w:rFonts w:cs="Arial"/>
          <w:color w:val="4BACC6" w:themeColor="accent5"/>
          <w:sz w:val="24"/>
          <w:szCs w:val="24"/>
        </w:rPr>
      </w:pPr>
    </w:p>
    <w:p w:rsidR="00D561EC" w:rsidRDefault="00D561EC" w:rsidP="00523D76">
      <w:pPr>
        <w:pStyle w:val="corte4fondo"/>
        <w:tabs>
          <w:tab w:val="left" w:pos="567"/>
        </w:tabs>
        <w:rPr>
          <w:color w:val="000000"/>
          <w:sz w:val="14"/>
          <w:szCs w:val="14"/>
        </w:rPr>
      </w:pPr>
      <w:r>
        <w:rPr>
          <w:rFonts w:cs="Arial"/>
          <w:color w:val="4BACC6" w:themeColor="accent5"/>
          <w:sz w:val="24"/>
          <w:szCs w:val="24"/>
        </w:rPr>
        <w:t xml:space="preserve">Así mismo, para robustecer lo </w:t>
      </w:r>
      <w:r w:rsidR="003108D6">
        <w:rPr>
          <w:rFonts w:cs="Arial"/>
          <w:color w:val="4BACC6" w:themeColor="accent5"/>
          <w:sz w:val="24"/>
          <w:szCs w:val="24"/>
        </w:rPr>
        <w:t>ya mencionado</w:t>
      </w:r>
      <w:r>
        <w:rPr>
          <w:rFonts w:cs="Arial"/>
          <w:color w:val="4BACC6" w:themeColor="accent5"/>
          <w:sz w:val="24"/>
          <w:szCs w:val="24"/>
        </w:rPr>
        <w:t xml:space="preserve">, se inserta la jurisprudencia </w:t>
      </w:r>
      <w:r w:rsidRPr="00D561EC">
        <w:rPr>
          <w:color w:val="4BACC6" w:themeColor="accent5"/>
          <w:sz w:val="24"/>
          <w:szCs w:val="24"/>
        </w:rPr>
        <w:t xml:space="preserve">175931. I.3o.C.532 C. Tribunales Colegiados de Circuito. Novena Época. Semanario Judicial de la Federación y su Gaceta. Tomo XXIII, </w:t>
      </w:r>
      <w:proofErr w:type="gramStart"/>
      <w:r w:rsidRPr="00D561EC">
        <w:rPr>
          <w:color w:val="4BACC6" w:themeColor="accent5"/>
          <w:sz w:val="24"/>
          <w:szCs w:val="24"/>
        </w:rPr>
        <w:t>Febrero</w:t>
      </w:r>
      <w:proofErr w:type="gramEnd"/>
      <w:r w:rsidRPr="00D561EC">
        <w:rPr>
          <w:color w:val="4BACC6" w:themeColor="accent5"/>
          <w:sz w:val="24"/>
          <w:szCs w:val="24"/>
        </w:rPr>
        <w:t xml:space="preserve"> de 2006, Pág. 1816</w:t>
      </w:r>
      <w:r w:rsidRPr="00D561EC">
        <w:rPr>
          <w:color w:val="4BACC6" w:themeColor="accent5"/>
          <w:sz w:val="24"/>
          <w:szCs w:val="24"/>
        </w:rPr>
        <w:t>, que a la letra dice:</w:t>
      </w:r>
    </w:p>
    <w:p w:rsidR="00D561EC" w:rsidRDefault="00D561EC" w:rsidP="00523D76">
      <w:pPr>
        <w:pStyle w:val="corte4fondo"/>
        <w:tabs>
          <w:tab w:val="left" w:pos="567"/>
        </w:tabs>
        <w:rPr>
          <w:rFonts w:cs="Arial"/>
          <w:color w:val="4BACC6" w:themeColor="accent5"/>
          <w:sz w:val="24"/>
          <w:szCs w:val="24"/>
        </w:rPr>
      </w:pPr>
    </w:p>
    <w:p w:rsidR="00D561EC" w:rsidRPr="00D63B24" w:rsidRDefault="00D561EC" w:rsidP="00523D76">
      <w:pPr>
        <w:pStyle w:val="corte4fondo"/>
        <w:tabs>
          <w:tab w:val="left" w:pos="567"/>
        </w:tabs>
        <w:rPr>
          <w:rFonts w:cs="Arial"/>
          <w:i/>
          <w:color w:val="4BACC6" w:themeColor="accent5"/>
          <w:sz w:val="22"/>
          <w:szCs w:val="22"/>
        </w:rPr>
      </w:pPr>
      <w:r w:rsidRPr="00D63B24">
        <w:rPr>
          <w:b/>
          <w:i/>
          <w:color w:val="4BACC6" w:themeColor="accent5"/>
          <w:sz w:val="22"/>
          <w:szCs w:val="22"/>
        </w:rPr>
        <w:t>“</w:t>
      </w:r>
      <w:r w:rsidRPr="00D63B24">
        <w:rPr>
          <w:b/>
          <w:i/>
          <w:color w:val="4BACC6" w:themeColor="accent5"/>
          <w:sz w:val="22"/>
          <w:szCs w:val="22"/>
        </w:rPr>
        <w:t>FUNDAMENTACIÓN Y MOTIVACIÓN. LA DIFERENCIA ENTRE LA FALTA Y LA INDEBIDA SATISFACCIÓN DE AMBOS REQUISITOS CONSTITUCIONALES TRASCIENDE AL ORDEN EN QUE DEBEN ESTUDIARSE LOS CONCEPTOS DE VIOLACIÓN Y A LOS EFECTOS DEL FALLO PROTECTOR</w:t>
      </w:r>
      <w:r w:rsidRPr="00D63B24">
        <w:rPr>
          <w:i/>
          <w:color w:val="4BACC6" w:themeColor="accent5"/>
          <w:sz w:val="22"/>
          <w:szCs w:val="22"/>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w:t>
      </w:r>
      <w:r w:rsidRPr="00D63B24">
        <w:rPr>
          <w:i/>
          <w:color w:val="4BACC6" w:themeColor="accent5"/>
          <w:sz w:val="22"/>
          <w:szCs w:val="22"/>
        </w:rPr>
        <w:lastRenderedPageBreak/>
        <w:t xml:space="preserve">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w:t>
      </w:r>
      <w:proofErr w:type="gramStart"/>
      <w:r w:rsidRPr="00D63B24">
        <w:rPr>
          <w:i/>
          <w:color w:val="4BACC6" w:themeColor="accent5"/>
          <w:sz w:val="22"/>
          <w:szCs w:val="22"/>
        </w:rPr>
        <w:t>pues</w:t>
      </w:r>
      <w:proofErr w:type="gramEnd"/>
      <w:r w:rsidRPr="00D63B24">
        <w:rPr>
          <w:i/>
          <w:color w:val="4BACC6" w:themeColor="accent5"/>
          <w:sz w:val="22"/>
          <w:szCs w:val="22"/>
        </w:rPr>
        <w:t xml:space="preserve">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Pr="00D63B24">
        <w:rPr>
          <w:i/>
          <w:color w:val="4BACC6" w:themeColor="accent5"/>
          <w:sz w:val="22"/>
          <w:szCs w:val="22"/>
        </w:rPr>
        <w:t>”</w:t>
      </w:r>
    </w:p>
    <w:p w:rsidR="00D561EC" w:rsidRDefault="00D561EC" w:rsidP="00523D76">
      <w:pPr>
        <w:pStyle w:val="corte4fondo"/>
        <w:tabs>
          <w:tab w:val="left" w:pos="567"/>
        </w:tabs>
        <w:rPr>
          <w:rFonts w:cs="Arial"/>
          <w:color w:val="4BACC6" w:themeColor="accent5"/>
          <w:sz w:val="24"/>
          <w:szCs w:val="24"/>
        </w:rPr>
      </w:pPr>
    </w:p>
    <w:p w:rsidR="00D561EC" w:rsidRDefault="00D561EC" w:rsidP="00523D76">
      <w:pPr>
        <w:pStyle w:val="corte4fondo"/>
        <w:tabs>
          <w:tab w:val="left" w:pos="567"/>
        </w:tabs>
        <w:rPr>
          <w:rFonts w:cs="Arial"/>
          <w:color w:val="4BACC6" w:themeColor="accent5"/>
          <w:sz w:val="24"/>
          <w:szCs w:val="24"/>
        </w:rPr>
      </w:pPr>
    </w:p>
    <w:p w:rsidR="00523D76" w:rsidRPr="00976F0C" w:rsidRDefault="00895AD9" w:rsidP="00A832FB">
      <w:pPr>
        <w:pStyle w:val="corte4fondo"/>
        <w:tabs>
          <w:tab w:val="left" w:pos="567"/>
        </w:tabs>
        <w:rPr>
          <w:rFonts w:cs="Arial"/>
          <w:color w:val="4BACC6" w:themeColor="accent5"/>
          <w:sz w:val="24"/>
          <w:szCs w:val="24"/>
        </w:rPr>
      </w:pPr>
      <w:r>
        <w:rPr>
          <w:rFonts w:cs="Arial"/>
          <w:color w:val="4BACC6" w:themeColor="accent5"/>
          <w:sz w:val="24"/>
          <w:szCs w:val="24"/>
        </w:rPr>
        <w:lastRenderedPageBreak/>
        <w:t>De l</w:t>
      </w:r>
      <w:r w:rsidR="003108D6">
        <w:rPr>
          <w:rFonts w:cs="Arial"/>
          <w:color w:val="4BACC6" w:themeColor="accent5"/>
          <w:sz w:val="24"/>
          <w:szCs w:val="24"/>
        </w:rPr>
        <w:t>o anterior</w:t>
      </w:r>
      <w:r w:rsidR="00A832FB">
        <w:rPr>
          <w:rFonts w:cs="Arial"/>
          <w:color w:val="4BACC6" w:themeColor="accent5"/>
          <w:sz w:val="24"/>
          <w:szCs w:val="24"/>
        </w:rPr>
        <w:t xml:space="preserve">, se advierte </w:t>
      </w:r>
      <w:r>
        <w:rPr>
          <w:rFonts w:cs="Arial"/>
          <w:color w:val="4BACC6" w:themeColor="accent5"/>
          <w:sz w:val="24"/>
          <w:szCs w:val="24"/>
        </w:rPr>
        <w:t xml:space="preserve">que </w:t>
      </w:r>
      <w:r w:rsidR="00A832FB">
        <w:rPr>
          <w:rFonts w:cs="Arial"/>
          <w:color w:val="4BACC6" w:themeColor="accent5"/>
          <w:sz w:val="24"/>
          <w:szCs w:val="24"/>
        </w:rPr>
        <w:t xml:space="preserve">las constancias remitidas a este órgano colegiado </w:t>
      </w:r>
      <w:r>
        <w:rPr>
          <w:rFonts w:cs="Arial"/>
          <w:color w:val="4BACC6" w:themeColor="accent5"/>
          <w:sz w:val="24"/>
          <w:szCs w:val="24"/>
        </w:rPr>
        <w:t>por</w:t>
      </w:r>
      <w:r w:rsidR="00A832FB">
        <w:rPr>
          <w:rFonts w:cs="Arial"/>
          <w:color w:val="4BACC6" w:themeColor="accent5"/>
          <w:sz w:val="24"/>
          <w:szCs w:val="24"/>
        </w:rPr>
        <w:t xml:space="preserve"> el sujeto obligado</w:t>
      </w:r>
      <w:r>
        <w:rPr>
          <w:rFonts w:cs="Arial"/>
          <w:color w:val="4BACC6" w:themeColor="accent5"/>
          <w:sz w:val="24"/>
          <w:szCs w:val="24"/>
        </w:rPr>
        <w:t>,</w:t>
      </w:r>
      <w:r w:rsidR="00A832FB">
        <w:rPr>
          <w:rFonts w:cs="Arial"/>
          <w:color w:val="4BACC6" w:themeColor="accent5"/>
          <w:sz w:val="24"/>
          <w:szCs w:val="24"/>
        </w:rPr>
        <w:t xml:space="preserve"> </w:t>
      </w:r>
      <w:r w:rsidR="003108D6">
        <w:rPr>
          <w:rFonts w:cs="Arial"/>
          <w:color w:val="4BACC6" w:themeColor="accent5"/>
          <w:sz w:val="24"/>
          <w:szCs w:val="24"/>
        </w:rPr>
        <w:t xml:space="preserve">no se ajustan entre la aplicación de la norma y los razonamientos lógico-jurídicos, por lo cual </w:t>
      </w:r>
      <w:r w:rsidR="0038033F">
        <w:rPr>
          <w:rFonts w:cs="Arial"/>
          <w:color w:val="4BACC6" w:themeColor="accent5"/>
          <w:sz w:val="24"/>
          <w:szCs w:val="24"/>
        </w:rPr>
        <w:t xml:space="preserve">no dio </w:t>
      </w:r>
      <w:r w:rsidR="00427953">
        <w:rPr>
          <w:rFonts w:cs="Arial"/>
          <w:color w:val="4BACC6" w:themeColor="accent5"/>
          <w:sz w:val="24"/>
          <w:szCs w:val="24"/>
        </w:rPr>
        <w:t xml:space="preserve">cabal cumplimiento a la resolución de mérito, </w:t>
      </w:r>
      <w:proofErr w:type="gramStart"/>
      <w:r w:rsidR="00523D76" w:rsidRPr="00976F0C">
        <w:rPr>
          <w:rFonts w:cs="Arial"/>
          <w:color w:val="4BACC6" w:themeColor="accent5"/>
          <w:sz w:val="24"/>
          <w:szCs w:val="24"/>
        </w:rPr>
        <w:t>de acuerdo al</w:t>
      </w:r>
      <w:proofErr w:type="gramEnd"/>
      <w:r w:rsidR="00523D76" w:rsidRPr="00976F0C">
        <w:rPr>
          <w:rFonts w:cs="Arial"/>
          <w:color w:val="4BACC6" w:themeColor="accent5"/>
          <w:sz w:val="24"/>
          <w:szCs w:val="24"/>
        </w:rPr>
        <w:t xml:space="preserve"> </w:t>
      </w:r>
      <w:r w:rsidR="00FE5A4C" w:rsidRPr="00976F0C">
        <w:rPr>
          <w:rFonts w:cs="Arial"/>
          <w:color w:val="4BACC6" w:themeColor="accent5"/>
          <w:sz w:val="24"/>
          <w:szCs w:val="24"/>
        </w:rPr>
        <w:t xml:space="preserve">contenido </w:t>
      </w:r>
      <w:r w:rsidR="00D561EC">
        <w:rPr>
          <w:rFonts w:cs="Arial"/>
          <w:color w:val="4BACC6" w:themeColor="accent5"/>
          <w:sz w:val="24"/>
          <w:szCs w:val="24"/>
        </w:rPr>
        <w:t>d</w:t>
      </w:r>
      <w:r w:rsidR="00523D76" w:rsidRPr="00976F0C">
        <w:rPr>
          <w:rFonts w:cs="Arial"/>
          <w:color w:val="4BACC6" w:themeColor="accent5"/>
          <w:sz w:val="24"/>
          <w:szCs w:val="24"/>
        </w:rPr>
        <w:t>el artículo</w:t>
      </w:r>
      <w:r w:rsidR="00813BA7" w:rsidRPr="00976F0C">
        <w:rPr>
          <w:rFonts w:cs="Arial"/>
          <w:color w:val="4BACC6" w:themeColor="accent5"/>
          <w:sz w:val="24"/>
          <w:szCs w:val="24"/>
        </w:rPr>
        <w:t xml:space="preserve"> 18</w:t>
      </w:r>
      <w:r w:rsidR="00427953">
        <w:rPr>
          <w:rFonts w:cs="Arial"/>
          <w:color w:val="4BACC6" w:themeColor="accent5"/>
          <w:sz w:val="24"/>
          <w:szCs w:val="24"/>
        </w:rPr>
        <w:t>4</w:t>
      </w:r>
      <w:r w:rsidR="00813BA7" w:rsidRPr="00976F0C">
        <w:rPr>
          <w:rFonts w:cs="Arial"/>
          <w:color w:val="4BACC6" w:themeColor="accent5"/>
          <w:sz w:val="24"/>
          <w:szCs w:val="24"/>
        </w:rPr>
        <w:t xml:space="preserve"> </w:t>
      </w:r>
      <w:r w:rsidR="00523D76" w:rsidRPr="00976F0C">
        <w:rPr>
          <w:rFonts w:cs="Arial"/>
          <w:color w:val="4BACC6" w:themeColor="accent5"/>
          <w:sz w:val="24"/>
          <w:szCs w:val="24"/>
        </w:rPr>
        <w:t xml:space="preserve">de la Ley de Transparencia y Acceso a la Información Pública del Estado, </w:t>
      </w:r>
      <w:r w:rsidR="00D63B24">
        <w:rPr>
          <w:rFonts w:cs="Arial"/>
          <w:color w:val="4BACC6" w:themeColor="accent5"/>
          <w:sz w:val="24"/>
          <w:szCs w:val="24"/>
        </w:rPr>
        <w:t xml:space="preserve">que </w:t>
      </w:r>
      <w:r w:rsidR="00523D76" w:rsidRPr="00976F0C">
        <w:rPr>
          <w:rFonts w:cs="Arial"/>
          <w:color w:val="4BACC6" w:themeColor="accent5"/>
          <w:sz w:val="24"/>
          <w:szCs w:val="24"/>
        </w:rPr>
        <w:t xml:space="preserve">dice: </w:t>
      </w:r>
    </w:p>
    <w:p w:rsidR="0039642A" w:rsidRPr="00976F0C" w:rsidRDefault="0039642A" w:rsidP="00523D76">
      <w:pPr>
        <w:pStyle w:val="corte4fondo"/>
        <w:tabs>
          <w:tab w:val="left" w:pos="567"/>
        </w:tabs>
        <w:rPr>
          <w:rFonts w:cs="Arial"/>
          <w:color w:val="4BACC6" w:themeColor="accent5"/>
          <w:sz w:val="24"/>
          <w:szCs w:val="24"/>
        </w:rPr>
      </w:pPr>
    </w:p>
    <w:p w:rsidR="00E621C8" w:rsidRPr="00E621C8" w:rsidRDefault="00523D76" w:rsidP="008478C1">
      <w:pPr>
        <w:spacing w:line="360" w:lineRule="auto"/>
        <w:ind w:left="-5" w:firstLine="713"/>
        <w:jc w:val="both"/>
        <w:rPr>
          <w:rFonts w:ascii="Arial" w:eastAsia="Arial" w:hAnsi="Arial" w:cs="Arial"/>
          <w:i/>
          <w:color w:val="4BACC6" w:themeColor="accent5"/>
          <w:sz w:val="20"/>
          <w:szCs w:val="20"/>
        </w:rPr>
      </w:pPr>
      <w:r w:rsidRPr="00E621C8">
        <w:rPr>
          <w:rFonts w:ascii="Arial" w:hAnsi="Arial" w:cs="Arial"/>
          <w:i/>
          <w:color w:val="4BACC6" w:themeColor="accent5"/>
          <w:sz w:val="20"/>
          <w:szCs w:val="20"/>
        </w:rPr>
        <w:t>“</w:t>
      </w:r>
      <w:r w:rsidR="00E621C8" w:rsidRPr="00E621C8">
        <w:rPr>
          <w:rFonts w:ascii="Arial" w:hAnsi="Arial" w:cs="Arial"/>
          <w:b/>
          <w:i/>
          <w:color w:val="4BACC6" w:themeColor="accent5"/>
          <w:sz w:val="20"/>
          <w:szCs w:val="20"/>
        </w:rPr>
        <w:t>ARTÍCULO 184.</w:t>
      </w:r>
      <w:r w:rsidR="00E621C8" w:rsidRPr="00E621C8">
        <w:rPr>
          <w:rFonts w:ascii="Arial" w:hAnsi="Arial" w:cs="Arial"/>
          <w:i/>
          <w:color w:val="4BACC6" w:themeColor="accent5"/>
          <w:sz w:val="20"/>
          <w:szCs w:val="20"/>
        </w:rPr>
        <w:t xml:space="preserve"> Transcurrido el plazo señalado en el artículo anterior, el sujeto obligado deberá informar a la CEGAIP sobre el cumplimento de la resolución.</w:t>
      </w:r>
    </w:p>
    <w:p w:rsidR="0039642A" w:rsidRDefault="00E621C8" w:rsidP="008478C1">
      <w:pPr>
        <w:spacing w:line="360" w:lineRule="auto"/>
        <w:ind w:left="-5" w:firstLine="713"/>
        <w:jc w:val="both"/>
        <w:rPr>
          <w:rFonts w:ascii="Arial" w:hAnsi="Arial" w:cs="Arial"/>
          <w:i/>
          <w:color w:val="4BACC6" w:themeColor="accent5"/>
          <w:sz w:val="20"/>
          <w:szCs w:val="20"/>
        </w:rPr>
      </w:pPr>
      <w:r w:rsidRPr="00E621C8">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Pr>
          <w:rFonts w:ascii="Arial" w:hAnsi="Arial" w:cs="Arial"/>
          <w:i/>
          <w:color w:val="4BACC6" w:themeColor="accent5"/>
          <w:sz w:val="20"/>
          <w:szCs w:val="20"/>
        </w:rPr>
        <w:t>”</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se le apercibe </w:t>
      </w:r>
      <w:proofErr w:type="gramStart"/>
      <w:r w:rsidRPr="00976F0C">
        <w:rPr>
          <w:rFonts w:ascii="Arial" w:hAnsi="Arial" w:cs="Arial"/>
          <w:color w:val="4BACC6" w:themeColor="accent5"/>
          <w:sz w:val="24"/>
          <w:szCs w:val="24"/>
        </w:rPr>
        <w:t>que</w:t>
      </w:r>
      <w:proofErr w:type="gramEnd"/>
      <w:r w:rsidRPr="00976F0C">
        <w:rPr>
          <w:rFonts w:ascii="Arial" w:hAnsi="Arial" w:cs="Arial"/>
          <w:color w:val="4BACC6" w:themeColor="accent5"/>
          <w:sz w:val="24"/>
          <w:szCs w:val="24"/>
        </w:rPr>
        <w:t xml:space="preserv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left="708" w:firstLine="709"/>
        <w:jc w:val="both"/>
        <w:rPr>
          <w:rFonts w:ascii="Arial" w:hAnsi="Arial" w:cs="Arial"/>
          <w:i/>
          <w:color w:val="4BACC6" w:themeColor="accent5"/>
          <w:sz w:val="20"/>
          <w:szCs w:val="20"/>
        </w:rPr>
      </w:pPr>
      <w:r w:rsidRPr="00976F0C">
        <w:rPr>
          <w:rFonts w:ascii="Arial" w:hAnsi="Arial" w:cs="Arial"/>
          <w:i/>
          <w:color w:val="4BACC6" w:themeColor="accent5"/>
          <w:sz w:val="20"/>
          <w:szCs w:val="20"/>
        </w:rPr>
        <w:t>“ARTÍCULO 58. Las unidades de transparencia acatarán las resoluciones, 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Pr="008478C1" w:rsidRDefault="005C7BA1" w:rsidP="008478C1">
      <w:pPr>
        <w:spacing w:after="0" w:line="360" w:lineRule="auto"/>
        <w:ind w:firstLine="709"/>
        <w:jc w:val="both"/>
        <w:rPr>
          <w:rFonts w:ascii="Arial" w:hAnsi="Arial" w:cs="Arial"/>
          <w:b/>
          <w:color w:val="4BACC6" w:themeColor="accent5"/>
          <w:sz w:val="24"/>
          <w:szCs w:val="24"/>
        </w:rPr>
      </w:pPr>
      <w:r w:rsidRPr="00976F0C">
        <w:rPr>
          <w:rFonts w:ascii="Arial" w:hAnsi="Arial" w:cs="Arial"/>
          <w:color w:val="4BACC6" w:themeColor="accent5"/>
          <w:sz w:val="24"/>
          <w:szCs w:val="24"/>
        </w:rPr>
        <w:t xml:space="preserve">Se requiere al </w:t>
      </w:r>
      <w:r w:rsidR="00427953">
        <w:rPr>
          <w:rFonts w:ascii="Arial" w:hAnsi="Arial" w:cs="Arial"/>
          <w:b/>
          <w:color w:val="4BACC6" w:themeColor="accent5"/>
          <w:sz w:val="24"/>
          <w:szCs w:val="24"/>
        </w:rPr>
        <w:t>Titular de l</w:t>
      </w:r>
      <w:r w:rsidR="00A832FB">
        <w:rPr>
          <w:rFonts w:ascii="Arial" w:hAnsi="Arial" w:cs="Arial"/>
          <w:b/>
          <w:color w:val="4BACC6" w:themeColor="accent5"/>
          <w:sz w:val="24"/>
          <w:szCs w:val="24"/>
        </w:rPr>
        <w:t>os Servicios de Salud en el Estado de 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090736" w:rsidRPr="00976F0C">
        <w:rPr>
          <w:rFonts w:ascii="Arial" w:hAnsi="Arial" w:cs="Arial"/>
          <w:b/>
          <w:color w:val="4BACC6" w:themeColor="accent5"/>
          <w:sz w:val="24"/>
          <w:szCs w:val="24"/>
        </w:rPr>
        <w:t>de</w:t>
      </w:r>
      <w:r w:rsidR="00427953">
        <w:rPr>
          <w:rFonts w:ascii="Arial" w:hAnsi="Arial" w:cs="Arial"/>
          <w:b/>
          <w:color w:val="4BACC6" w:themeColor="accent5"/>
          <w:sz w:val="24"/>
          <w:szCs w:val="24"/>
        </w:rPr>
        <w:t xml:space="preserve"> </w:t>
      </w:r>
      <w:r w:rsidR="00090736" w:rsidRPr="00976F0C">
        <w:rPr>
          <w:rFonts w:ascii="Arial" w:hAnsi="Arial" w:cs="Arial"/>
          <w:b/>
          <w:color w:val="4BACC6" w:themeColor="accent5"/>
          <w:sz w:val="24"/>
          <w:szCs w:val="24"/>
        </w:rPr>
        <w:t>l</w:t>
      </w:r>
      <w:r w:rsidR="00A832FB">
        <w:rPr>
          <w:rFonts w:ascii="Arial" w:hAnsi="Arial" w:cs="Arial"/>
          <w:b/>
          <w:color w:val="4BACC6" w:themeColor="accent5"/>
          <w:sz w:val="24"/>
          <w:szCs w:val="24"/>
        </w:rPr>
        <w:t>os</w:t>
      </w:r>
      <w:r w:rsidR="00090736" w:rsidRPr="00976F0C">
        <w:rPr>
          <w:rFonts w:ascii="Arial" w:hAnsi="Arial" w:cs="Arial"/>
          <w:b/>
          <w:color w:val="4BACC6" w:themeColor="accent5"/>
          <w:sz w:val="24"/>
          <w:szCs w:val="24"/>
        </w:rPr>
        <w:t xml:space="preserve"> </w:t>
      </w:r>
      <w:r w:rsidR="00A832FB">
        <w:rPr>
          <w:rFonts w:ascii="Arial" w:hAnsi="Arial" w:cs="Arial"/>
          <w:b/>
          <w:color w:val="4BACC6" w:themeColor="accent5"/>
          <w:sz w:val="24"/>
          <w:szCs w:val="24"/>
        </w:rPr>
        <w:t xml:space="preserve">Servicios de Salud en el Estado de </w:t>
      </w:r>
      <w:r w:rsidR="00090736" w:rsidRPr="00976F0C">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a efecto de que en el término de 05 cinco días hábiles, los cuales de conformidad con lo establecido por el artículo 148 de la Ley de la materia, las notificaciones </w:t>
      </w:r>
      <w:r w:rsidRPr="00976F0C">
        <w:rPr>
          <w:rFonts w:ascii="Arial" w:hAnsi="Arial" w:cs="Arial"/>
          <w:color w:val="4BACC6" w:themeColor="accent5"/>
          <w:sz w:val="24"/>
          <w:szCs w:val="24"/>
        </w:rPr>
        <w:lastRenderedPageBreak/>
        <w:t>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A832FB">
        <w:rPr>
          <w:rFonts w:ascii="Arial" w:hAnsi="Arial" w:cs="Arial"/>
          <w:b/>
          <w:color w:val="4BACC6" w:themeColor="accent5"/>
          <w:sz w:val="24"/>
          <w:szCs w:val="24"/>
        </w:rPr>
        <w:t>652</w:t>
      </w:r>
      <w:r w:rsidRPr="00976F0C">
        <w:rPr>
          <w:rFonts w:ascii="Arial" w:hAnsi="Arial" w:cs="Arial"/>
          <w:b/>
          <w:color w:val="4BACC6" w:themeColor="accent5"/>
          <w:sz w:val="24"/>
          <w:szCs w:val="24"/>
        </w:rPr>
        <w:t>/201</w:t>
      </w:r>
      <w:r w:rsidR="008478C1">
        <w:rPr>
          <w:rFonts w:ascii="Arial" w:hAnsi="Arial" w:cs="Arial"/>
          <w:b/>
          <w:color w:val="4BACC6" w:themeColor="accent5"/>
          <w:sz w:val="24"/>
          <w:szCs w:val="24"/>
        </w:rPr>
        <w:t>7</w:t>
      </w:r>
      <w:r w:rsidRPr="00976F0C">
        <w:rPr>
          <w:rFonts w:ascii="Arial" w:hAnsi="Arial" w:cs="Arial"/>
          <w:b/>
          <w:color w:val="4BACC6" w:themeColor="accent5"/>
          <w:sz w:val="24"/>
          <w:szCs w:val="24"/>
        </w:rPr>
        <w:t>-1</w:t>
      </w:r>
      <w:r w:rsidR="008478C1">
        <w:rPr>
          <w:rFonts w:ascii="Arial" w:hAnsi="Arial" w:cs="Arial"/>
          <w:b/>
          <w:color w:val="4BACC6" w:themeColor="accent5"/>
          <w:sz w:val="24"/>
          <w:szCs w:val="24"/>
        </w:rPr>
        <w:t xml:space="preserve"> PLATAFORMA</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976F0C">
        <w:rPr>
          <w:rFonts w:ascii="Arial" w:hAnsi="Arial" w:cs="Arial"/>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D63B24" w:rsidRDefault="00D63B24" w:rsidP="00845E58">
      <w:pPr>
        <w:spacing w:after="0" w:line="240" w:lineRule="auto"/>
        <w:ind w:firstLine="709"/>
        <w:jc w:val="both"/>
        <w:rPr>
          <w:rFonts w:ascii="Arial" w:hAnsi="Arial" w:cs="Arial"/>
          <w:color w:val="4BACC6" w:themeColor="accent5"/>
          <w:sz w:val="16"/>
          <w:szCs w:val="16"/>
        </w:rPr>
      </w:pPr>
    </w:p>
    <w:p w:rsidR="00D63B24" w:rsidRDefault="00D63B24" w:rsidP="00845E58">
      <w:pPr>
        <w:spacing w:after="0" w:line="240" w:lineRule="auto"/>
        <w:ind w:firstLine="709"/>
        <w:jc w:val="both"/>
        <w:rPr>
          <w:rFonts w:ascii="Arial" w:hAnsi="Arial" w:cs="Arial"/>
          <w:color w:val="4BACC6" w:themeColor="accent5"/>
          <w:sz w:val="16"/>
          <w:szCs w:val="16"/>
        </w:rPr>
      </w:pPr>
    </w:p>
    <w:p w:rsidR="008478C1" w:rsidRPr="00976F0C" w:rsidRDefault="008478C1" w:rsidP="00845E58">
      <w:pPr>
        <w:spacing w:after="0" w:line="240" w:lineRule="auto"/>
        <w:ind w:firstLine="709"/>
        <w:jc w:val="both"/>
        <w:rPr>
          <w:rFonts w:ascii="Arial" w:hAnsi="Arial" w:cs="Arial"/>
          <w:color w:val="4BACC6" w:themeColor="accent5"/>
          <w:sz w:val="16"/>
          <w:szCs w:val="16"/>
        </w:rPr>
      </w:pPr>
    </w:p>
    <w:p w:rsidR="00976F0C" w:rsidRPr="00976F0C" w:rsidRDefault="00D72000" w:rsidP="00845E58">
      <w:pPr>
        <w:spacing w:after="0" w:line="240" w:lineRule="auto"/>
        <w:ind w:firstLine="709"/>
        <w:jc w:val="both"/>
        <w:rPr>
          <w:rFonts w:ascii="Arial" w:hAnsi="Arial" w:cs="Arial"/>
          <w:color w:val="4BACC6" w:themeColor="accent5"/>
          <w:sz w:val="16"/>
          <w:szCs w:val="16"/>
        </w:rPr>
      </w:pPr>
      <w:r w:rsidRPr="00976F0C">
        <w:rPr>
          <w:rFonts w:ascii="Arial" w:hAnsi="Arial" w:cs="Arial"/>
          <w:color w:val="4BACC6" w:themeColor="accent5"/>
          <w:sz w:val="16"/>
          <w:szCs w:val="16"/>
        </w:rPr>
        <w:t>O</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R.E</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J</w:t>
      </w:r>
      <w:r w:rsidR="00E32AE9" w:rsidRPr="00976F0C">
        <w:rPr>
          <w:rFonts w:ascii="Arial" w:hAnsi="Arial" w:cs="Arial"/>
          <w:color w:val="4BACC6" w:themeColor="accent5"/>
          <w:sz w:val="16"/>
          <w:szCs w:val="16"/>
        </w:rPr>
        <w:t>.</w:t>
      </w:r>
    </w:p>
    <w:p w:rsidR="00976F0C" w:rsidRPr="00976F0C" w:rsidRDefault="00976F0C" w:rsidP="00976F0C">
      <w:pPr>
        <w:rPr>
          <w:rFonts w:ascii="Arial" w:hAnsi="Arial" w:cs="Arial"/>
          <w:color w:val="4BACC6" w:themeColor="accent5"/>
          <w:sz w:val="16"/>
          <w:szCs w:val="16"/>
        </w:rPr>
      </w:pPr>
    </w:p>
    <w:p w:rsidR="00976F0C" w:rsidRPr="00976F0C" w:rsidRDefault="00976F0C" w:rsidP="00976F0C">
      <w:pPr>
        <w:rPr>
          <w:rFonts w:ascii="Arial" w:hAnsi="Arial" w:cs="Arial"/>
          <w:color w:val="4BACC6" w:themeColor="accent5"/>
          <w:sz w:val="16"/>
          <w:szCs w:val="16"/>
        </w:rPr>
      </w:pPr>
    </w:p>
    <w:p w:rsidR="00976F0C" w:rsidRDefault="00976F0C" w:rsidP="00976F0C">
      <w:pPr>
        <w:tabs>
          <w:tab w:val="left" w:pos="900"/>
        </w:tabs>
        <w:rPr>
          <w:rFonts w:ascii="Arial" w:hAnsi="Arial" w:cs="Arial"/>
          <w:color w:val="4BACC6" w:themeColor="accent5"/>
          <w:sz w:val="16"/>
          <w:szCs w:val="16"/>
        </w:rPr>
      </w:pPr>
      <w:r w:rsidRPr="00976F0C">
        <w:rPr>
          <w:rFonts w:ascii="Arial" w:hAnsi="Arial" w:cs="Arial"/>
          <w:color w:val="4BACC6" w:themeColor="accent5"/>
          <w:sz w:val="16"/>
          <w:szCs w:val="16"/>
        </w:rPr>
        <w:tab/>
      </w:r>
    </w:p>
    <w:p w:rsidR="00D63B24" w:rsidRPr="00976F0C" w:rsidRDefault="00D63B24"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A832FB">
      <w:pPr>
        <w:tabs>
          <w:tab w:val="left" w:pos="900"/>
        </w:tabs>
        <w:ind w:left="851"/>
        <w:jc w:val="both"/>
        <w:rPr>
          <w:rFonts w:ascii="Arial" w:hAnsi="Arial" w:cs="Arial"/>
          <w:color w:val="4BACC6" w:themeColor="accent5"/>
          <w:sz w:val="18"/>
          <w:szCs w:val="18"/>
        </w:rPr>
      </w:pPr>
      <w:r w:rsidRPr="00976F0C">
        <w:rPr>
          <w:rFonts w:ascii="Arial" w:hAnsi="Arial" w:cs="Arial"/>
          <w:color w:val="4BACC6" w:themeColor="accent5"/>
          <w:sz w:val="18"/>
          <w:szCs w:val="18"/>
        </w:rPr>
        <w:t xml:space="preserve">(Esta foja pertenece a la parte final del proveído de </w:t>
      </w:r>
      <w:r w:rsidR="00A832FB">
        <w:rPr>
          <w:rFonts w:ascii="Arial" w:hAnsi="Arial" w:cs="Arial"/>
          <w:color w:val="4BACC6" w:themeColor="accent5"/>
          <w:sz w:val="18"/>
          <w:szCs w:val="18"/>
        </w:rPr>
        <w:t>doce de febrero</w:t>
      </w:r>
      <w:r w:rsidRPr="00976F0C">
        <w:rPr>
          <w:rFonts w:ascii="Arial" w:hAnsi="Arial" w:cs="Arial"/>
          <w:color w:val="4BACC6" w:themeColor="accent5"/>
          <w:sz w:val="18"/>
          <w:szCs w:val="18"/>
        </w:rPr>
        <w:t xml:space="preserve"> de dos mil dieciocho, dentro </w:t>
      </w:r>
      <w:bookmarkStart w:id="1" w:name="_GoBack"/>
      <w:bookmarkEnd w:id="1"/>
      <w:r w:rsidRPr="00976F0C">
        <w:rPr>
          <w:rFonts w:ascii="Arial" w:hAnsi="Arial" w:cs="Arial"/>
          <w:color w:val="4BACC6" w:themeColor="accent5"/>
          <w:sz w:val="18"/>
          <w:szCs w:val="18"/>
        </w:rPr>
        <w:t xml:space="preserve">del recurso de revisión </w:t>
      </w:r>
      <w:r w:rsidR="00A832FB">
        <w:rPr>
          <w:rFonts w:ascii="Arial" w:hAnsi="Arial" w:cs="Arial"/>
          <w:color w:val="4BACC6" w:themeColor="accent5"/>
          <w:sz w:val="18"/>
          <w:szCs w:val="18"/>
        </w:rPr>
        <w:t>652</w:t>
      </w:r>
      <w:r w:rsidRPr="00976F0C">
        <w:rPr>
          <w:rFonts w:ascii="Arial" w:hAnsi="Arial" w:cs="Arial"/>
          <w:color w:val="4BACC6" w:themeColor="accent5"/>
          <w:sz w:val="18"/>
          <w:szCs w:val="18"/>
        </w:rPr>
        <w:t>/201</w:t>
      </w:r>
      <w:r w:rsidR="008478C1">
        <w:rPr>
          <w:rFonts w:ascii="Arial" w:hAnsi="Arial" w:cs="Arial"/>
          <w:color w:val="4BACC6" w:themeColor="accent5"/>
          <w:sz w:val="18"/>
          <w:szCs w:val="18"/>
        </w:rPr>
        <w:t>7</w:t>
      </w:r>
      <w:r w:rsidRPr="00976F0C">
        <w:rPr>
          <w:rFonts w:ascii="Arial" w:hAnsi="Arial" w:cs="Arial"/>
          <w:color w:val="4BACC6" w:themeColor="accent5"/>
          <w:sz w:val="18"/>
          <w:szCs w:val="18"/>
        </w:rPr>
        <w:t>-1 PLATAFORMA).</w:t>
      </w:r>
    </w:p>
    <w:sectPr w:rsidR="00976F0C" w:rsidRPr="00976F0C" w:rsidSect="00FF56CF">
      <w:headerReference w:type="default" r:id="rId10"/>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CC4" w:rsidRDefault="00521CC4" w:rsidP="00A04BCB">
      <w:pPr>
        <w:spacing w:after="0" w:line="240" w:lineRule="auto"/>
      </w:pPr>
      <w:r>
        <w:separator/>
      </w:r>
    </w:p>
  </w:endnote>
  <w:endnote w:type="continuationSeparator" w:id="0">
    <w:p w:rsidR="00521CC4" w:rsidRDefault="00521CC4"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CC4" w:rsidRDefault="00521CC4" w:rsidP="00A04BCB">
      <w:pPr>
        <w:spacing w:after="0" w:line="240" w:lineRule="auto"/>
      </w:pPr>
      <w:r>
        <w:separator/>
      </w:r>
    </w:p>
  </w:footnote>
  <w:footnote w:type="continuationSeparator" w:id="0">
    <w:p w:rsidR="00521CC4" w:rsidRDefault="00521CC4"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401EF8">
      <w:rPr>
        <w:rFonts w:ascii="Arial" w:hAnsi="Arial" w:cs="Arial"/>
        <w:b/>
      </w:rPr>
      <w:t>652</w:t>
    </w:r>
    <w:r>
      <w:rPr>
        <w:rFonts w:ascii="Arial" w:hAnsi="Arial" w:cs="Arial"/>
        <w:b/>
      </w:rPr>
      <w:t>/201</w:t>
    </w:r>
    <w:r w:rsidR="00C0225E">
      <w:rPr>
        <w:rFonts w:ascii="Arial" w:hAnsi="Arial" w:cs="Arial"/>
        <w:b/>
      </w:rPr>
      <w:t>7</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90736"/>
    <w:rsid w:val="00090FF9"/>
    <w:rsid w:val="000A4472"/>
    <w:rsid w:val="000A4C73"/>
    <w:rsid w:val="000A4F5D"/>
    <w:rsid w:val="000B15A4"/>
    <w:rsid w:val="000B62C2"/>
    <w:rsid w:val="000B7F7D"/>
    <w:rsid w:val="000D6BBE"/>
    <w:rsid w:val="000D71A1"/>
    <w:rsid w:val="000F05B6"/>
    <w:rsid w:val="000F3254"/>
    <w:rsid w:val="000F3F6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108D6"/>
    <w:rsid w:val="00331B9E"/>
    <w:rsid w:val="003332F1"/>
    <w:rsid w:val="00352A7B"/>
    <w:rsid w:val="00360ABE"/>
    <w:rsid w:val="0037061E"/>
    <w:rsid w:val="00372881"/>
    <w:rsid w:val="0038033F"/>
    <w:rsid w:val="0038176B"/>
    <w:rsid w:val="00381A32"/>
    <w:rsid w:val="00383735"/>
    <w:rsid w:val="0038592D"/>
    <w:rsid w:val="0039642A"/>
    <w:rsid w:val="003A0A70"/>
    <w:rsid w:val="003E3238"/>
    <w:rsid w:val="00401EF8"/>
    <w:rsid w:val="00402BE9"/>
    <w:rsid w:val="00404705"/>
    <w:rsid w:val="0041021C"/>
    <w:rsid w:val="00426890"/>
    <w:rsid w:val="00427953"/>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022C3"/>
    <w:rsid w:val="00515C6F"/>
    <w:rsid w:val="00521CC4"/>
    <w:rsid w:val="00523D76"/>
    <w:rsid w:val="005368E6"/>
    <w:rsid w:val="0053726B"/>
    <w:rsid w:val="0054206B"/>
    <w:rsid w:val="005447DC"/>
    <w:rsid w:val="00552902"/>
    <w:rsid w:val="0055402B"/>
    <w:rsid w:val="00555BEA"/>
    <w:rsid w:val="00557692"/>
    <w:rsid w:val="00570D95"/>
    <w:rsid w:val="00571B19"/>
    <w:rsid w:val="00580B07"/>
    <w:rsid w:val="005A2395"/>
    <w:rsid w:val="005C16CA"/>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45E58"/>
    <w:rsid w:val="008478C1"/>
    <w:rsid w:val="00850170"/>
    <w:rsid w:val="00852028"/>
    <w:rsid w:val="0085470E"/>
    <w:rsid w:val="00874C83"/>
    <w:rsid w:val="0088125B"/>
    <w:rsid w:val="00895AD9"/>
    <w:rsid w:val="00897B0C"/>
    <w:rsid w:val="008A6B41"/>
    <w:rsid w:val="008B15BA"/>
    <w:rsid w:val="008C22E2"/>
    <w:rsid w:val="008D0A3C"/>
    <w:rsid w:val="008F388A"/>
    <w:rsid w:val="008F6149"/>
    <w:rsid w:val="009039C8"/>
    <w:rsid w:val="00906B75"/>
    <w:rsid w:val="009124C4"/>
    <w:rsid w:val="00922275"/>
    <w:rsid w:val="0092572B"/>
    <w:rsid w:val="0094536F"/>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32FB"/>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B031B"/>
    <w:rsid w:val="00C0019F"/>
    <w:rsid w:val="00C0023E"/>
    <w:rsid w:val="00C003C0"/>
    <w:rsid w:val="00C0225E"/>
    <w:rsid w:val="00C062AB"/>
    <w:rsid w:val="00C07D4B"/>
    <w:rsid w:val="00C16EC4"/>
    <w:rsid w:val="00C23535"/>
    <w:rsid w:val="00C257BC"/>
    <w:rsid w:val="00C37176"/>
    <w:rsid w:val="00C42933"/>
    <w:rsid w:val="00C66E3D"/>
    <w:rsid w:val="00C70A3F"/>
    <w:rsid w:val="00C73D19"/>
    <w:rsid w:val="00C750F4"/>
    <w:rsid w:val="00C7664A"/>
    <w:rsid w:val="00C86357"/>
    <w:rsid w:val="00C96DC3"/>
    <w:rsid w:val="00CC57CD"/>
    <w:rsid w:val="00CE6391"/>
    <w:rsid w:val="00D05A2B"/>
    <w:rsid w:val="00D078E6"/>
    <w:rsid w:val="00D11CA5"/>
    <w:rsid w:val="00D13645"/>
    <w:rsid w:val="00D21862"/>
    <w:rsid w:val="00D315CC"/>
    <w:rsid w:val="00D5290F"/>
    <w:rsid w:val="00D550D5"/>
    <w:rsid w:val="00D561EC"/>
    <w:rsid w:val="00D63B24"/>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A8"/>
    <w:rsid w:val="00E135D9"/>
    <w:rsid w:val="00E15E88"/>
    <w:rsid w:val="00E32AE9"/>
    <w:rsid w:val="00E43715"/>
    <w:rsid w:val="00E4433C"/>
    <w:rsid w:val="00E4590E"/>
    <w:rsid w:val="00E51C51"/>
    <w:rsid w:val="00E621C8"/>
    <w:rsid w:val="00E66879"/>
    <w:rsid w:val="00E66DB6"/>
    <w:rsid w:val="00E828C8"/>
    <w:rsid w:val="00E84E18"/>
    <w:rsid w:val="00E94C22"/>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66588"/>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styleId="Mencinsinresolver">
    <w:name w:val="Unresolved Mention"/>
    <w:basedOn w:val="Fuentedeprrafopredeter"/>
    <w:uiPriority w:val="99"/>
    <w:semiHidden/>
    <w:unhideWhenUsed/>
    <w:rsid w:val="000B15A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parencia@slp.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ransparencia@slp.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1366-61CE-4390-B4B1-4C3521CA4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1865</Words>
  <Characters>10263</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2017-12-21T17:11:00Z</cp:lastPrinted>
  <dcterms:created xsi:type="dcterms:W3CDTF">2018-02-12T15:50:00Z</dcterms:created>
  <dcterms:modified xsi:type="dcterms:W3CDTF">2018-02-12T15:50:00Z</dcterms:modified>
</cp:coreProperties>
</file>